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2236568A" w:rsidR="001166C1" w:rsidRDefault="00BF59BA" w:rsidP="001166C1">
      <w:pPr>
        <w:pStyle w:val="Footer"/>
        <w:tabs>
          <w:tab w:val="left" w:pos="720"/>
        </w:tabs>
        <w:rPr>
          <w:rFonts w:cs="Arial"/>
          <w:b/>
          <w:color w:val="F26522" w:themeColor="accent1"/>
          <w:sz w:val="28"/>
        </w:rPr>
      </w:pPr>
      <w:bookmarkStart w:id="2" w:name="_Hlk141419806"/>
      <w:r>
        <w:rPr>
          <w:rFonts w:cs="Arial"/>
          <w:b/>
          <w:color w:val="F26522" w:themeColor="accent1"/>
          <w:sz w:val="28"/>
        </w:rPr>
        <w:t>CMP</w:t>
      </w:r>
      <w:r w:rsidR="00162F93">
        <w:rPr>
          <w:rFonts w:cs="Arial"/>
          <w:b/>
          <w:color w:val="F26522" w:themeColor="accent1"/>
          <w:sz w:val="28"/>
        </w:rPr>
        <w:t>417</w:t>
      </w:r>
      <w:r w:rsidR="001166C1">
        <w:rPr>
          <w:rFonts w:cs="Arial"/>
          <w:b/>
          <w:color w:val="F26522" w:themeColor="accent1"/>
          <w:sz w:val="28"/>
        </w:rPr>
        <w:t xml:space="preserve">: </w:t>
      </w:r>
      <w:r w:rsidR="00162F93" w:rsidRPr="00162F93">
        <w:rPr>
          <w:rFonts w:cs="Arial"/>
          <w:b/>
          <w:color w:val="F26522" w:themeColor="accent1"/>
          <w:sz w:val="28"/>
        </w:rPr>
        <w:t>Extending principles of CUSC Section 15 to all Users</w:t>
      </w:r>
    </w:p>
    <w:bookmarkEnd w:id="2"/>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0F277D70"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162F93" w:rsidRPr="00162F93">
        <w:rPr>
          <w:b/>
          <w:sz w:val="24"/>
        </w:rPr>
        <w:t>CMP417: Extending principles of CUSC Section 15 to all Users</w:t>
      </w:r>
      <w:r w:rsidR="0082676D">
        <w:rPr>
          <w:b/>
          <w:sz w:val="24"/>
        </w:rPr>
        <w:t xml:space="preserve"> </w:t>
      </w:r>
      <w:r w:rsidR="00E44F00" w:rsidRPr="00810B20">
        <w:rPr>
          <w:sz w:val="24"/>
        </w:rPr>
        <w:t xml:space="preserve">raised by </w:t>
      </w:r>
      <w:r w:rsidR="0082676D">
        <w:rPr>
          <w:sz w:val="24"/>
        </w:rPr>
        <w:t xml:space="preserve">the </w:t>
      </w:r>
      <w:r w:rsidR="0082676D">
        <w:rPr>
          <w:b/>
          <w:bCs/>
          <w:sz w:val="24"/>
        </w:rPr>
        <w:t>Electricity System Operator</w:t>
      </w:r>
      <w:r w:rsidR="00E44F00" w:rsidRPr="00810B20">
        <w:rPr>
          <w:sz w:val="24"/>
        </w:rPr>
        <w:t xml:space="preserve"> at the Modifications Panel meeting on </w:t>
      </w:r>
      <w:r w:rsidR="0082676D" w:rsidRPr="0082676D">
        <w:rPr>
          <w:b/>
          <w:sz w:val="24"/>
        </w:rPr>
        <w:t>28 July 2023</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7E9151F4" w14:textId="0E0428B9" w:rsidR="00FD2295" w:rsidRDefault="00FD2295" w:rsidP="00E11E76">
      <w:pPr>
        <w:pStyle w:val="BodyText"/>
        <w:spacing w:before="0" w:after="0" w:line="240" w:lineRule="auto"/>
        <w:jc w:val="both"/>
        <w:rPr>
          <w:sz w:val="24"/>
        </w:rPr>
      </w:pPr>
    </w:p>
    <w:p w14:paraId="6190276E" w14:textId="77777777" w:rsidR="00B13F32" w:rsidRPr="004F1A02" w:rsidRDefault="00B13F32" w:rsidP="00B13F32">
      <w:pPr>
        <w:pStyle w:val="Checklist"/>
      </w:pPr>
      <w:r>
        <w:t>Applicable CUSC (non-charging) Objectives</w:t>
      </w:r>
    </w:p>
    <w:p w14:paraId="1577E2F1" w14:textId="4A79107C" w:rsidR="00E015EA" w:rsidRPr="00DE08D0" w:rsidRDefault="00E015EA" w:rsidP="00DE08D0">
      <w:pPr>
        <w:pStyle w:val="ListParagraph"/>
        <w:numPr>
          <w:ilvl w:val="0"/>
          <w:numId w:val="20"/>
        </w:numPr>
        <w:spacing w:before="0" w:after="160" w:line="256" w:lineRule="auto"/>
        <w:jc w:val="both"/>
        <w:rPr>
          <w:sz w:val="24"/>
        </w:rPr>
      </w:pPr>
      <w:r w:rsidRPr="00DE08D0">
        <w:rPr>
          <w:sz w:val="24"/>
        </w:rPr>
        <w:t>The efficient discharge by the Licensee of the obligations imposed on it by the Act and the Transmission Licence;</w:t>
      </w:r>
    </w:p>
    <w:p w14:paraId="3349FE5C"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Facilitating effective competition in the generation and supply of electricity, and (so far as consistent therewith) facilitating such competition in the sale, distribution and purchase of electricity;</w:t>
      </w:r>
    </w:p>
    <w:p w14:paraId="38AFDBD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Compliance with the Electricity Regulation and any relevant legally binding decision of the European Commission and/or the Agency *; and</w:t>
      </w:r>
    </w:p>
    <w:p w14:paraId="4D91F829" w14:textId="77777777" w:rsidR="00E015EA" w:rsidRPr="00DE08D0" w:rsidRDefault="00E015EA" w:rsidP="00DE08D0">
      <w:pPr>
        <w:pStyle w:val="ListParagraph"/>
        <w:numPr>
          <w:ilvl w:val="0"/>
          <w:numId w:val="20"/>
        </w:numPr>
        <w:spacing w:before="0" w:after="160" w:line="256" w:lineRule="auto"/>
        <w:jc w:val="both"/>
        <w:rPr>
          <w:sz w:val="24"/>
        </w:rPr>
      </w:pPr>
      <w:r w:rsidRPr="00DE08D0">
        <w:rPr>
          <w:sz w:val="24"/>
        </w:rPr>
        <w:t>Promoting efficiency in the implementation and administration of the CUSC arrangements.</w:t>
      </w:r>
    </w:p>
    <w:p w14:paraId="509AE6AC" w14:textId="6E6A66FB" w:rsidR="00B13F32" w:rsidRPr="00DE08D0" w:rsidRDefault="00067F08" w:rsidP="00E015EA">
      <w:pPr>
        <w:pStyle w:val="BodyText"/>
        <w:spacing w:before="0" w:after="0" w:line="240" w:lineRule="auto"/>
        <w:jc w:val="both"/>
        <w:rPr>
          <w:sz w:val="24"/>
        </w:rPr>
      </w:pPr>
      <w:r w:rsidRPr="00067F08">
        <w:rPr>
          <w:sz w:val="24"/>
        </w:rPr>
        <w:t>*The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47064AD4"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054791DC" w:rsidR="00D9152C" w:rsidRPr="007F1905" w:rsidRDefault="00070884" w:rsidP="007F1905">
            <w:pPr>
              <w:pStyle w:val="BodyText"/>
              <w:numPr>
                <w:ilvl w:val="0"/>
                <w:numId w:val="19"/>
              </w:numPr>
              <w:rPr>
                <w:bCs/>
                <w:sz w:val="24"/>
                <w:lang w:val="en-GB"/>
              </w:rPr>
            </w:pPr>
            <w:r w:rsidRPr="007F1905">
              <w:rPr>
                <w:bCs/>
                <w:sz w:val="24"/>
              </w:rPr>
              <w:lastRenderedPageBreak/>
              <w:t>Consider the transitional arrangements</w:t>
            </w:r>
          </w:p>
        </w:tc>
        <w:tc>
          <w:tcPr>
            <w:tcW w:w="4232" w:type="dxa"/>
          </w:tcPr>
          <w:p w14:paraId="1C50510C" w14:textId="77777777" w:rsidR="00D9152C" w:rsidRDefault="00D9152C" w:rsidP="00D9152C">
            <w:pPr>
              <w:pStyle w:val="BodyText"/>
              <w:jc w:val="both"/>
              <w:rPr>
                <w:b/>
                <w:szCs w:val="22"/>
              </w:rPr>
            </w:pPr>
          </w:p>
        </w:tc>
      </w:tr>
      <w:tr w:rsidR="004C2F4E" w14:paraId="0C959CCB" w14:textId="77777777" w:rsidTr="00D6616A">
        <w:tc>
          <w:tcPr>
            <w:tcW w:w="5124" w:type="dxa"/>
          </w:tcPr>
          <w:p w14:paraId="3B5AD175" w14:textId="4C97B4DE" w:rsidR="004C2F4E" w:rsidRPr="007F1905" w:rsidRDefault="00392C98" w:rsidP="007F1905">
            <w:pPr>
              <w:pStyle w:val="BodyText"/>
              <w:numPr>
                <w:ilvl w:val="0"/>
                <w:numId w:val="19"/>
              </w:numPr>
              <w:rPr>
                <w:bCs/>
                <w:sz w:val="24"/>
              </w:rPr>
            </w:pPr>
            <w:r w:rsidRPr="00392C98">
              <w:rPr>
                <w:bCs/>
                <w:sz w:val="24"/>
              </w:rPr>
              <w:t>Consider interactions with other codes or code modifications</w:t>
            </w:r>
          </w:p>
        </w:tc>
        <w:tc>
          <w:tcPr>
            <w:tcW w:w="4232" w:type="dxa"/>
          </w:tcPr>
          <w:p w14:paraId="26224AA0" w14:textId="77777777" w:rsidR="004C2F4E" w:rsidRDefault="004C2F4E" w:rsidP="00D9152C">
            <w:pPr>
              <w:pStyle w:val="BodyText"/>
              <w:jc w:val="both"/>
              <w:rPr>
                <w:b/>
                <w:szCs w:val="22"/>
              </w:rPr>
            </w:pPr>
          </w:p>
        </w:tc>
      </w:tr>
      <w:tr w:rsidR="004C2F4E" w14:paraId="5440FE1C" w14:textId="77777777" w:rsidTr="00D6616A">
        <w:tc>
          <w:tcPr>
            <w:tcW w:w="5124" w:type="dxa"/>
          </w:tcPr>
          <w:p w14:paraId="45AE7D4B" w14:textId="35A70177" w:rsidR="004C2F4E" w:rsidRPr="007F1905" w:rsidRDefault="00392C98" w:rsidP="007F1905">
            <w:pPr>
              <w:pStyle w:val="BodyText"/>
              <w:numPr>
                <w:ilvl w:val="0"/>
                <w:numId w:val="19"/>
              </w:numPr>
              <w:rPr>
                <w:bCs/>
                <w:sz w:val="24"/>
              </w:rPr>
            </w:pPr>
            <w:r w:rsidRPr="00392C98">
              <w:rPr>
                <w:bCs/>
                <w:sz w:val="24"/>
              </w:rPr>
              <w:t>Consider interactions with connections reform</w:t>
            </w:r>
          </w:p>
        </w:tc>
        <w:tc>
          <w:tcPr>
            <w:tcW w:w="4232" w:type="dxa"/>
          </w:tcPr>
          <w:p w14:paraId="5209925E" w14:textId="77777777" w:rsidR="004C2F4E" w:rsidRDefault="004C2F4E" w:rsidP="00D9152C">
            <w:pPr>
              <w:pStyle w:val="BodyText"/>
              <w:jc w:val="both"/>
              <w:rPr>
                <w:b/>
                <w:szCs w:val="22"/>
              </w:rPr>
            </w:pPr>
          </w:p>
        </w:tc>
      </w:tr>
      <w:tr w:rsidR="004C2F4E" w14:paraId="4A079015" w14:textId="77777777" w:rsidTr="00D6616A">
        <w:tc>
          <w:tcPr>
            <w:tcW w:w="5124" w:type="dxa"/>
          </w:tcPr>
          <w:p w14:paraId="5BAC00B1" w14:textId="631999A4" w:rsidR="004C2F4E" w:rsidRPr="007F1905" w:rsidRDefault="00392C98" w:rsidP="007F1905">
            <w:pPr>
              <w:pStyle w:val="BodyText"/>
              <w:numPr>
                <w:ilvl w:val="0"/>
                <w:numId w:val="19"/>
              </w:numPr>
              <w:rPr>
                <w:bCs/>
                <w:sz w:val="24"/>
              </w:rPr>
            </w:pPr>
            <w:r w:rsidRPr="00392C98">
              <w:rPr>
                <w:bCs/>
                <w:sz w:val="24"/>
              </w:rPr>
              <w:t>Consider financial consequences to Users</w:t>
            </w:r>
          </w:p>
        </w:tc>
        <w:tc>
          <w:tcPr>
            <w:tcW w:w="4232" w:type="dxa"/>
          </w:tcPr>
          <w:p w14:paraId="70A3768A" w14:textId="77777777" w:rsidR="004C2F4E" w:rsidRDefault="004C2F4E" w:rsidP="00D9152C">
            <w:pPr>
              <w:pStyle w:val="BodyText"/>
              <w:jc w:val="both"/>
              <w:rPr>
                <w:b/>
                <w:szCs w:val="22"/>
              </w:rPr>
            </w:pPr>
          </w:p>
        </w:tc>
      </w:tr>
      <w:tr w:rsidR="004C2F4E" w14:paraId="5478D142" w14:textId="77777777" w:rsidTr="00D6616A">
        <w:tc>
          <w:tcPr>
            <w:tcW w:w="5124" w:type="dxa"/>
          </w:tcPr>
          <w:p w14:paraId="74063D4E" w14:textId="51C4B755" w:rsidR="004C2F4E" w:rsidRPr="007F1905" w:rsidRDefault="00392C98" w:rsidP="007F1905">
            <w:pPr>
              <w:pStyle w:val="BodyText"/>
              <w:numPr>
                <w:ilvl w:val="0"/>
                <w:numId w:val="19"/>
              </w:numPr>
              <w:rPr>
                <w:bCs/>
                <w:sz w:val="24"/>
              </w:rPr>
            </w:pPr>
            <w:r w:rsidRPr="00392C98">
              <w:rPr>
                <w:bCs/>
                <w:sz w:val="24"/>
              </w:rPr>
              <w:t>Consider cash flow implications on the ESO</w:t>
            </w:r>
          </w:p>
        </w:tc>
        <w:tc>
          <w:tcPr>
            <w:tcW w:w="4232" w:type="dxa"/>
          </w:tcPr>
          <w:p w14:paraId="2E6ADBA3" w14:textId="77777777" w:rsidR="004C2F4E" w:rsidRDefault="004C2F4E"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087DD259"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490280">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5D395DDD" w:rsidR="00DF6303" w:rsidRPr="00E35941" w:rsidRDefault="00DF6303" w:rsidP="00DF3EDE">
      <w:pPr>
        <w:numPr>
          <w:ilvl w:val="0"/>
          <w:numId w:val="15"/>
        </w:numPr>
        <w:spacing w:before="0" w:after="0" w:line="240" w:lineRule="auto"/>
        <w:jc w:val="both"/>
        <w:rPr>
          <w:sz w:val="24"/>
        </w:rPr>
      </w:pPr>
      <w:r w:rsidRPr="00E35941">
        <w:rPr>
          <w:sz w:val="24"/>
        </w:rPr>
        <w:t xml:space="preserve">The Workgroup is to submit its final report to the Modifications Panel Secretary on </w:t>
      </w:r>
      <w:r w:rsidRPr="00E35941">
        <w:rPr>
          <w:b/>
          <w:sz w:val="24"/>
        </w:rPr>
        <w:t>XX Month XXXX</w:t>
      </w:r>
      <w:r w:rsidRPr="00E35941">
        <w:rPr>
          <w:sz w:val="24"/>
        </w:rPr>
        <w:t xml:space="preserve"> for circulation to Panel Members. The final report conclusions will be presented to the CUSC Modifications Panel meeting on </w:t>
      </w:r>
      <w:r w:rsidRPr="00E35941">
        <w:rPr>
          <w:b/>
          <w:sz w:val="24"/>
        </w:rPr>
        <w:t>XX Month XXXX.</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2455AD46" w:rsidR="00C72699" w:rsidRPr="00C72699" w:rsidRDefault="00C72699" w:rsidP="00C72699">
      <w:pPr>
        <w:pStyle w:val="ListParagraph"/>
        <w:numPr>
          <w:ilvl w:val="0"/>
          <w:numId w:val="15"/>
        </w:numPr>
        <w:jc w:val="both"/>
        <w:rPr>
          <w:sz w:val="24"/>
        </w:rPr>
      </w:pPr>
      <w:r w:rsidRPr="00C72699">
        <w:rPr>
          <w:sz w:val="24"/>
        </w:rPr>
        <w:t>The chair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w:t>
      </w:r>
      <w:r w:rsidRPr="00C72699">
        <w:rPr>
          <w:sz w:val="24"/>
        </w:rPr>
        <w:lastRenderedPageBreak/>
        <w:t xml:space="preserve">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6991D" w14:textId="77777777" w:rsidR="007A0124" w:rsidRDefault="007A0124" w:rsidP="00D06DC4">
      <w:pPr>
        <w:spacing w:before="0" w:after="0" w:line="240" w:lineRule="auto"/>
      </w:pPr>
      <w:r>
        <w:separator/>
      </w:r>
    </w:p>
  </w:endnote>
  <w:endnote w:type="continuationSeparator" w:id="0">
    <w:p w14:paraId="39E7EB35" w14:textId="77777777" w:rsidR="007A0124" w:rsidRDefault="007A0124" w:rsidP="00D06DC4">
      <w:pPr>
        <w:spacing w:before="0" w:after="0" w:line="240" w:lineRule="auto"/>
      </w:pPr>
      <w:r>
        <w:continuationSeparator/>
      </w:r>
    </w:p>
  </w:endnote>
  <w:endnote w:type="continuationNotice" w:id="1">
    <w:p w14:paraId="090F5228" w14:textId="77777777" w:rsidR="007A0124" w:rsidRDefault="007A012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EAC05" w14:textId="77777777" w:rsidR="007A0124" w:rsidRDefault="007A0124" w:rsidP="00D06DC4">
      <w:pPr>
        <w:spacing w:before="0" w:after="0" w:line="240" w:lineRule="auto"/>
      </w:pPr>
      <w:r>
        <w:separator/>
      </w:r>
    </w:p>
  </w:footnote>
  <w:footnote w:type="continuationSeparator" w:id="0">
    <w:p w14:paraId="212F30DC" w14:textId="77777777" w:rsidR="007A0124" w:rsidRDefault="007A0124" w:rsidP="00D06DC4">
      <w:pPr>
        <w:spacing w:before="0" w:after="0" w:line="240" w:lineRule="auto"/>
      </w:pPr>
      <w:r>
        <w:continuationSeparator/>
      </w:r>
    </w:p>
  </w:footnote>
  <w:footnote w:type="continuationNotice" w:id="1">
    <w:p w14:paraId="797A683A" w14:textId="77777777" w:rsidR="007A0124" w:rsidRDefault="007A012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2AE90E3C" w:rsidR="00B8588F" w:rsidRDefault="00DB7D81" w:rsidP="000C711B">
    <w:pPr>
      <w:pStyle w:val="Header"/>
      <w:ind w:left="720" w:firstLine="720"/>
      <w:jc w:val="right"/>
    </w:pPr>
    <w:bookmarkStart w:id="3" w:name="_Hlk31876634"/>
    <w:bookmarkStart w:id="4"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CMP</w:t>
    </w:r>
    <w:r w:rsidR="00957BD1">
      <w:t>417</w:t>
    </w:r>
    <w:r w:rsidR="00B8588F">
      <w:tab/>
    </w:r>
    <w:bookmarkEnd w:id="3"/>
    <w:bookmarkEnd w:id="4"/>
    <w:r w:rsidR="00040B6A">
      <w:t xml:space="preserve">Panel date: </w:t>
    </w:r>
    <w:bookmarkStart w:id="5" w:name="_Hlk141419845"/>
    <w:r w:rsidR="00957BD1">
      <w:t>28 July 2023</w:t>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6430069">
    <w:abstractNumId w:val="15"/>
  </w:num>
  <w:num w:numId="2" w16cid:durableId="1751198302">
    <w:abstractNumId w:val="7"/>
  </w:num>
  <w:num w:numId="3" w16cid:durableId="1053390563">
    <w:abstractNumId w:val="5"/>
  </w:num>
  <w:num w:numId="4" w16cid:durableId="1570995291">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3138937">
    <w:abstractNumId w:val="7"/>
  </w:num>
  <w:num w:numId="6" w16cid:durableId="1671102821">
    <w:abstractNumId w:val="5"/>
  </w:num>
  <w:num w:numId="7" w16cid:durableId="1833132155">
    <w:abstractNumId w:val="13"/>
  </w:num>
  <w:num w:numId="8" w16cid:durableId="416484057">
    <w:abstractNumId w:val="0"/>
  </w:num>
  <w:num w:numId="9" w16cid:durableId="1213537890">
    <w:abstractNumId w:val="14"/>
  </w:num>
  <w:num w:numId="10" w16cid:durableId="1403068618">
    <w:abstractNumId w:val="9"/>
  </w:num>
  <w:num w:numId="11" w16cid:durableId="1077560329">
    <w:abstractNumId w:val="4"/>
  </w:num>
  <w:num w:numId="12" w16cid:durableId="96490009">
    <w:abstractNumId w:val="12"/>
  </w:num>
  <w:num w:numId="13" w16cid:durableId="68506045">
    <w:abstractNumId w:val="6"/>
  </w:num>
  <w:num w:numId="14" w16cid:durableId="1289047932">
    <w:abstractNumId w:val="1"/>
  </w:num>
  <w:num w:numId="15" w16cid:durableId="1686125779">
    <w:abstractNumId w:val="8"/>
  </w:num>
  <w:num w:numId="16" w16cid:durableId="976451935">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668293960">
    <w:abstractNumId w:val="11"/>
  </w:num>
  <w:num w:numId="18" w16cid:durableId="1205826149">
    <w:abstractNumId w:val="2"/>
  </w:num>
  <w:num w:numId="19" w16cid:durableId="1173254561">
    <w:abstractNumId w:val="3"/>
  </w:num>
  <w:num w:numId="20" w16cid:durableId="20508357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67F08"/>
    <w:rsid w:val="00070884"/>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37"/>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84F"/>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2F93"/>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37AF"/>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3381"/>
    <w:rsid w:val="002B4673"/>
    <w:rsid w:val="002B5ADD"/>
    <w:rsid w:val="002B5B46"/>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1565"/>
    <w:rsid w:val="00361694"/>
    <w:rsid w:val="0036430D"/>
    <w:rsid w:val="00367F32"/>
    <w:rsid w:val="00374DE0"/>
    <w:rsid w:val="00376580"/>
    <w:rsid w:val="0037775C"/>
    <w:rsid w:val="00377CF0"/>
    <w:rsid w:val="00386F89"/>
    <w:rsid w:val="003875B7"/>
    <w:rsid w:val="00390E5A"/>
    <w:rsid w:val="00392884"/>
    <w:rsid w:val="00392C98"/>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80"/>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2F4E"/>
    <w:rsid w:val="004C3B99"/>
    <w:rsid w:val="004C445F"/>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79C"/>
    <w:rsid w:val="00532B22"/>
    <w:rsid w:val="005356A7"/>
    <w:rsid w:val="005376E1"/>
    <w:rsid w:val="00537CF1"/>
    <w:rsid w:val="00540332"/>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292D"/>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0124"/>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905"/>
    <w:rsid w:val="007F1F4B"/>
    <w:rsid w:val="007F7AFF"/>
    <w:rsid w:val="008006B5"/>
    <w:rsid w:val="00800BB4"/>
    <w:rsid w:val="00806211"/>
    <w:rsid w:val="00810B20"/>
    <w:rsid w:val="008161BE"/>
    <w:rsid w:val="00817E75"/>
    <w:rsid w:val="00823AA8"/>
    <w:rsid w:val="0082676D"/>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49BE"/>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57BD1"/>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2140"/>
    <w:rsid w:val="00AD5031"/>
    <w:rsid w:val="00AD6FF9"/>
    <w:rsid w:val="00AE117D"/>
    <w:rsid w:val="00AE312D"/>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3B7"/>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74999"/>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005B"/>
    <w:rsid w:val="00BC2E51"/>
    <w:rsid w:val="00BC42F7"/>
    <w:rsid w:val="00BC52EE"/>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C001B0"/>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C44"/>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894"/>
    <w:rsid w:val="00DA3D41"/>
    <w:rsid w:val="00DA6F8F"/>
    <w:rsid w:val="00DA7A32"/>
    <w:rsid w:val="00DB21A5"/>
    <w:rsid w:val="00DB447A"/>
    <w:rsid w:val="00DB7D81"/>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AFD30D03-D458-42A3-A189-90C017AE2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Template>
  <TotalTime>173</TotalTime>
  <Pages>4</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Lizzie Timmins (ESO)</cp:lastModifiedBy>
  <cp:revision>62</cp:revision>
  <cp:lastPrinted>2023-09-18T07:56:00Z</cp:lastPrinted>
  <dcterms:created xsi:type="dcterms:W3CDTF">2020-09-14T10:45:00Z</dcterms:created>
  <dcterms:modified xsi:type="dcterms:W3CDTF">2023-09-21T07:15:00Z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